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E65D7" w14:textId="77777777" w:rsidR="00A92E19" w:rsidRDefault="00A92E19" w:rsidP="00A92E19">
      <w:pPr>
        <w:jc w:val="center"/>
        <w:rPr>
          <w:b/>
          <w:bCs/>
        </w:rPr>
      </w:pPr>
      <w:r>
        <w:rPr>
          <w:b/>
          <w:bCs/>
        </w:rPr>
        <w:t>Marymount University</w:t>
      </w:r>
    </w:p>
    <w:p w14:paraId="2CB144B5" w14:textId="6B16364F" w:rsidR="00C54FDD" w:rsidRPr="00C54FDD" w:rsidRDefault="00C54FDD" w:rsidP="00A92E19">
      <w:pPr>
        <w:jc w:val="center"/>
      </w:pPr>
      <w:r w:rsidRPr="00C54FDD">
        <w:rPr>
          <w:b/>
          <w:bCs/>
        </w:rPr>
        <w:t>Ph.D. in Counselor Education and Supervision</w:t>
      </w:r>
    </w:p>
    <w:p w14:paraId="266906D1" w14:textId="73813F42" w:rsidR="009226DC" w:rsidRDefault="00C54FDD" w:rsidP="00A92E19">
      <w:pPr>
        <w:jc w:val="center"/>
        <w:rPr>
          <w:b/>
          <w:bCs/>
        </w:rPr>
      </w:pPr>
      <w:r w:rsidRPr="00C54FDD">
        <w:rPr>
          <w:b/>
          <w:bCs/>
        </w:rPr>
        <w:t>Program Evaluation</w:t>
      </w:r>
      <w:r w:rsidR="009226DC">
        <w:rPr>
          <w:b/>
          <w:bCs/>
        </w:rPr>
        <w:t xml:space="preserve"> Report</w:t>
      </w:r>
      <w:r w:rsidR="007F4036">
        <w:rPr>
          <w:b/>
          <w:bCs/>
        </w:rPr>
        <w:t xml:space="preserve"> 2024-2025</w:t>
      </w:r>
    </w:p>
    <w:p w14:paraId="439D234F" w14:textId="77777777" w:rsidR="00A92E19" w:rsidRPr="00A92E19" w:rsidRDefault="00A92E19" w:rsidP="00A92E19">
      <w:pPr>
        <w:spacing w:before="100" w:beforeAutospacing="1" w:after="100" w:afterAutospacing="1"/>
      </w:pPr>
      <w:r w:rsidRPr="00A92E19">
        <w:t>The faculty in the Counselor Education and Supervision doctoral program at Marymount University are committed to developing advanced professional competencies and supporting doctoral students’ timely progress toward degree completion. In alignment with the 2024 standards of the Council for Accreditation of Counseling and Related Educational Programs (CACREP), faculty systematically assess student learning and development across both academic and clinical domains. These assessments are part of a structured, program-wide process and are regularly reviewed in faculty meetings to support data-informed decisions regarding student progress and overall program effectiveness.</w:t>
      </w:r>
    </w:p>
    <w:p w14:paraId="7E60588D" w14:textId="77777777" w:rsidR="00A92E19" w:rsidRPr="00A92E19" w:rsidRDefault="00A92E19" w:rsidP="00A92E19">
      <w:pPr>
        <w:spacing w:before="100" w:beforeAutospacing="1" w:after="100" w:afterAutospacing="1"/>
      </w:pPr>
      <w:r w:rsidRPr="00A92E19">
        <w:t>Program-level data are collected from multiple sources, including doctoral coursework and clinical practicum experiences. This comprehensive approach allows for ongoing monitoring of students’ development and their progress toward meeting key program benchmarks aligned with 2024 CACREP standards. This report summarizes aggregate class mean scores across doctoral courses for three academic terms: Fall 2024, Spring 2025, and Summer 2025.</w:t>
      </w:r>
    </w:p>
    <w:p w14:paraId="513204AB" w14:textId="77777777" w:rsidR="00A92E19" w:rsidRPr="00A92E19" w:rsidRDefault="00A92E19" w:rsidP="00A92E19">
      <w:pPr>
        <w:spacing w:before="100" w:beforeAutospacing="1" w:after="100" w:afterAutospacing="1"/>
      </w:pPr>
      <w:r w:rsidRPr="00A92E19">
        <w:t>Across all terms, student performance met or exceeded program expectations, with class means consistently in the “Competent” to “Exemplary” range. These results indicate that the current curriculum, instructional methods, and supervision practices are effectively supporting doctoral-level competency development. The findings also offer clear direction for continuous program improvement, including refining course content, strengthening instructional strategies, and identifying targeted supports for both students and faculty.</w:t>
      </w:r>
    </w:p>
    <w:p w14:paraId="06EA0019" w14:textId="77777777" w:rsidR="00A92E19" w:rsidRPr="00A92E19" w:rsidRDefault="00A92E19" w:rsidP="00A92E19">
      <w:pPr>
        <w:spacing w:before="100" w:beforeAutospacing="1" w:after="100" w:afterAutospacing="1"/>
      </w:pPr>
      <w:r w:rsidRPr="00A92E19">
        <w:t>Overall, the consistent pattern of strong student performance highlights the effectiveness of the Counselor Education and Supervision doctoral program at Marymount University. Ongoing, systematic assessment remains central to the program’s commitment to academic excellence, professional development, and the preparation of skilled counselor educators, supervisors, and scholars.</w:t>
      </w:r>
    </w:p>
    <w:p w14:paraId="5E9094AC" w14:textId="77777777" w:rsidR="00C54FDD" w:rsidRDefault="00C54FDD"/>
    <w:tbl>
      <w:tblPr>
        <w:tblW w:w="0" w:type="auto"/>
        <w:tblCellMar>
          <w:top w:w="15" w:type="dxa"/>
          <w:left w:w="15" w:type="dxa"/>
          <w:bottom w:w="15" w:type="dxa"/>
          <w:right w:w="15" w:type="dxa"/>
        </w:tblCellMar>
        <w:tblLook w:val="04A0" w:firstRow="1" w:lastRow="0" w:firstColumn="1" w:lastColumn="0" w:noHBand="0" w:noVBand="1"/>
      </w:tblPr>
      <w:tblGrid>
        <w:gridCol w:w="1570"/>
        <w:gridCol w:w="6796"/>
        <w:gridCol w:w="864"/>
      </w:tblGrid>
      <w:tr w:rsidR="00D4531F" w:rsidRPr="00D4531F" w14:paraId="583F5DB1" w14:textId="77777777" w:rsidTr="005902A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2DD8E" w14:textId="63600517" w:rsidR="00D4531F" w:rsidRPr="00D4531F" w:rsidRDefault="00D4531F" w:rsidP="005902AB">
            <w:pPr>
              <w:rPr>
                <w:rFonts w:eastAsia="Times New Roman"/>
                <w:b/>
                <w:bCs/>
                <w:color w:val="000000"/>
                <w:szCs w:val="24"/>
              </w:rPr>
            </w:pPr>
            <w:r w:rsidRPr="00D4531F">
              <w:rPr>
                <w:rFonts w:eastAsia="Times New Roman"/>
                <w:b/>
                <w:bCs/>
                <w:color w:val="000000"/>
                <w:szCs w:val="24"/>
              </w:rPr>
              <w:t>Semester</w:t>
            </w:r>
          </w:p>
        </w:tc>
        <w:tc>
          <w:tcPr>
            <w:tcW w:w="0" w:type="auto"/>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A1A4EDB" w14:textId="75B023C9" w:rsidR="00D4531F" w:rsidRPr="00D4531F" w:rsidRDefault="00D4531F" w:rsidP="005902AB">
            <w:pPr>
              <w:rPr>
                <w:rFonts w:eastAsia="Times New Roman"/>
                <w:b/>
                <w:bCs/>
                <w:color w:val="000000"/>
                <w:szCs w:val="24"/>
              </w:rPr>
            </w:pPr>
            <w:r w:rsidRPr="00D4531F">
              <w:rPr>
                <w:rFonts w:eastAsia="Times New Roman"/>
                <w:b/>
                <w:bCs/>
                <w:color w:val="000000"/>
                <w:szCs w:val="24"/>
              </w:rPr>
              <w:t>Course Number and Name</w:t>
            </w:r>
          </w:p>
        </w:tc>
        <w:tc>
          <w:tcPr>
            <w:tcW w:w="864" w:type="dxa"/>
            <w:tcBorders>
              <w:top w:val="single" w:sz="4" w:space="0" w:color="auto"/>
              <w:left w:val="single" w:sz="4" w:space="0" w:color="auto"/>
              <w:bottom w:val="single" w:sz="4" w:space="0" w:color="auto"/>
              <w:right w:val="single" w:sz="4" w:space="0" w:color="auto"/>
            </w:tcBorders>
          </w:tcPr>
          <w:p w14:paraId="7E4FD8DC" w14:textId="59BD9D18" w:rsidR="00D4531F" w:rsidRPr="00D4531F" w:rsidRDefault="00D4531F" w:rsidP="005902AB">
            <w:pPr>
              <w:rPr>
                <w:rFonts w:eastAsia="Times New Roman"/>
                <w:b/>
                <w:bCs/>
                <w:color w:val="000000"/>
                <w:szCs w:val="24"/>
              </w:rPr>
            </w:pPr>
            <w:r w:rsidRPr="00D4531F">
              <w:rPr>
                <w:rFonts w:eastAsia="Times New Roman"/>
                <w:b/>
                <w:bCs/>
                <w:color w:val="000000"/>
                <w:szCs w:val="24"/>
              </w:rPr>
              <w:t>Class Mean</w:t>
            </w:r>
          </w:p>
        </w:tc>
      </w:tr>
      <w:tr w:rsidR="005902AB" w:rsidRPr="005902AB" w14:paraId="4D4EF52C" w14:textId="25125CF6" w:rsidTr="005902AB">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63C6B7" w14:textId="77777777" w:rsidR="005902AB" w:rsidRPr="005902AB" w:rsidRDefault="005902AB" w:rsidP="005902AB">
            <w:pPr>
              <w:rPr>
                <w:rFonts w:eastAsia="Times New Roman"/>
                <w:szCs w:val="24"/>
              </w:rPr>
            </w:pPr>
            <w:r w:rsidRPr="005902AB">
              <w:rPr>
                <w:rFonts w:eastAsia="Times New Roman"/>
                <w:color w:val="000000"/>
                <w:szCs w:val="24"/>
              </w:rPr>
              <w:t>Fall 2024</w:t>
            </w:r>
          </w:p>
        </w:tc>
        <w:tc>
          <w:tcPr>
            <w:tcW w:w="0" w:type="auto"/>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77CB4CD1" w14:textId="77777777" w:rsidR="005902AB" w:rsidRPr="005902AB" w:rsidRDefault="005902AB" w:rsidP="005902AB">
            <w:pPr>
              <w:rPr>
                <w:rFonts w:eastAsia="Times New Roman"/>
                <w:szCs w:val="24"/>
              </w:rPr>
            </w:pPr>
            <w:r w:rsidRPr="005902AB">
              <w:rPr>
                <w:rFonts w:eastAsia="Times New Roman"/>
                <w:color w:val="000000"/>
                <w:szCs w:val="24"/>
              </w:rPr>
              <w:t>CE701</w:t>
            </w:r>
            <w:r w:rsidRPr="005902AB">
              <w:rPr>
                <w:rFonts w:ascii="ƒï€&amp;" w:eastAsia="Times New Roman" w:hAnsi="ƒï€&amp;"/>
                <w:color w:val="000000"/>
                <w:sz w:val="20"/>
                <w:szCs w:val="20"/>
              </w:rPr>
              <w:t xml:space="preserve"> </w:t>
            </w:r>
            <w:r w:rsidRPr="005902AB">
              <w:rPr>
                <w:rFonts w:eastAsia="Times New Roman"/>
                <w:color w:val="000000"/>
                <w:szCs w:val="24"/>
              </w:rPr>
              <w:t>Advanced Diagnostic Classification of Mental Disorders</w:t>
            </w:r>
          </w:p>
        </w:tc>
        <w:tc>
          <w:tcPr>
            <w:tcW w:w="864" w:type="dxa"/>
            <w:tcBorders>
              <w:top w:val="single" w:sz="4" w:space="0" w:color="auto"/>
              <w:left w:val="single" w:sz="4" w:space="0" w:color="auto"/>
              <w:bottom w:val="single" w:sz="4" w:space="0" w:color="auto"/>
              <w:right w:val="single" w:sz="4" w:space="0" w:color="auto"/>
            </w:tcBorders>
          </w:tcPr>
          <w:p w14:paraId="4C84FE57" w14:textId="2356961E" w:rsidR="005902AB" w:rsidRPr="005902AB" w:rsidRDefault="005902AB" w:rsidP="005902AB">
            <w:pPr>
              <w:rPr>
                <w:rFonts w:eastAsia="Times New Roman"/>
                <w:color w:val="000000"/>
                <w:szCs w:val="24"/>
              </w:rPr>
            </w:pPr>
            <w:r>
              <w:rPr>
                <w:rFonts w:eastAsia="Times New Roman"/>
                <w:color w:val="000000"/>
                <w:szCs w:val="24"/>
              </w:rPr>
              <w:t>3.05</w:t>
            </w:r>
          </w:p>
        </w:tc>
      </w:tr>
      <w:tr w:rsidR="005902AB" w:rsidRPr="005902AB" w14:paraId="78408731" w14:textId="251E398E" w:rsidTr="005902AB">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206D94" w14:textId="77777777" w:rsidR="005902AB" w:rsidRPr="005902AB" w:rsidRDefault="005902AB" w:rsidP="005902AB">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1C18A361" w14:textId="77777777" w:rsidR="005902AB" w:rsidRPr="005902AB" w:rsidRDefault="005902AB" w:rsidP="005902AB">
            <w:pPr>
              <w:rPr>
                <w:rFonts w:eastAsia="Times New Roman"/>
                <w:szCs w:val="24"/>
              </w:rPr>
            </w:pPr>
            <w:r w:rsidRPr="005902AB">
              <w:rPr>
                <w:rFonts w:eastAsia="Times New Roman"/>
                <w:color w:val="000000"/>
                <w:szCs w:val="24"/>
              </w:rPr>
              <w:t>CE702 Professional Issues in Counselor Education and Supervision</w:t>
            </w:r>
          </w:p>
        </w:tc>
        <w:tc>
          <w:tcPr>
            <w:tcW w:w="864" w:type="dxa"/>
            <w:tcBorders>
              <w:top w:val="single" w:sz="4" w:space="0" w:color="auto"/>
              <w:left w:val="single" w:sz="4" w:space="0" w:color="auto"/>
              <w:bottom w:val="single" w:sz="4" w:space="0" w:color="auto"/>
              <w:right w:val="single" w:sz="4" w:space="0" w:color="auto"/>
            </w:tcBorders>
          </w:tcPr>
          <w:p w14:paraId="1392D049" w14:textId="3D27F766" w:rsidR="005902AB" w:rsidRPr="005902AB" w:rsidRDefault="00D051D6" w:rsidP="005902AB">
            <w:pPr>
              <w:rPr>
                <w:rFonts w:eastAsia="Times New Roman"/>
                <w:color w:val="000000"/>
                <w:szCs w:val="24"/>
              </w:rPr>
            </w:pPr>
            <w:r>
              <w:rPr>
                <w:rFonts w:eastAsia="Times New Roman"/>
                <w:color w:val="000000"/>
                <w:szCs w:val="24"/>
              </w:rPr>
              <w:t>3.24</w:t>
            </w:r>
          </w:p>
        </w:tc>
      </w:tr>
      <w:tr w:rsidR="005902AB" w:rsidRPr="005902AB" w14:paraId="572CEAE4" w14:textId="024D2FE1" w:rsidTr="005902AB">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8F6387" w14:textId="77777777" w:rsidR="005902AB" w:rsidRPr="005902AB" w:rsidRDefault="005902AB" w:rsidP="005902AB">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DEA0E21" w14:textId="77777777" w:rsidR="005902AB" w:rsidRPr="005902AB" w:rsidRDefault="005902AB" w:rsidP="005902AB">
            <w:pPr>
              <w:rPr>
                <w:rFonts w:eastAsia="Times New Roman"/>
                <w:szCs w:val="24"/>
              </w:rPr>
            </w:pPr>
            <w:r w:rsidRPr="005902AB">
              <w:rPr>
                <w:rFonts w:eastAsia="Times New Roman"/>
                <w:color w:val="000000"/>
                <w:szCs w:val="24"/>
              </w:rPr>
              <w:t>CE720 Advanced Theories and Models in Counselor Education</w:t>
            </w:r>
          </w:p>
        </w:tc>
        <w:tc>
          <w:tcPr>
            <w:tcW w:w="864" w:type="dxa"/>
            <w:tcBorders>
              <w:top w:val="single" w:sz="4" w:space="0" w:color="auto"/>
              <w:left w:val="single" w:sz="4" w:space="0" w:color="auto"/>
              <w:bottom w:val="single" w:sz="4" w:space="0" w:color="auto"/>
              <w:right w:val="single" w:sz="4" w:space="0" w:color="auto"/>
            </w:tcBorders>
          </w:tcPr>
          <w:p w14:paraId="6632766B" w14:textId="1B8FBC2E" w:rsidR="005902AB" w:rsidRPr="005902AB" w:rsidRDefault="00D051D6" w:rsidP="005902AB">
            <w:pPr>
              <w:rPr>
                <w:rFonts w:eastAsia="Times New Roman"/>
                <w:color w:val="000000"/>
                <w:szCs w:val="24"/>
              </w:rPr>
            </w:pPr>
            <w:r>
              <w:rPr>
                <w:rFonts w:eastAsia="Times New Roman"/>
                <w:color w:val="000000"/>
                <w:szCs w:val="24"/>
              </w:rPr>
              <w:t>3.88</w:t>
            </w:r>
          </w:p>
        </w:tc>
      </w:tr>
      <w:tr w:rsidR="005902AB" w:rsidRPr="005902AB" w14:paraId="3B492D47" w14:textId="38F5E31B" w:rsidTr="005902AB">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3C2409" w14:textId="77777777" w:rsidR="005902AB" w:rsidRPr="005902AB" w:rsidRDefault="005902AB" w:rsidP="005902AB">
            <w:pPr>
              <w:rPr>
                <w:rFonts w:eastAsia="Times New Roman"/>
                <w:szCs w:val="24"/>
              </w:rPr>
            </w:pPr>
            <w:r w:rsidRPr="005902AB">
              <w:rPr>
                <w:rFonts w:eastAsia="Times New Roman"/>
                <w:color w:val="000000"/>
                <w:szCs w:val="24"/>
              </w:rPr>
              <w:t>Spring 2025</w:t>
            </w:r>
          </w:p>
        </w:tc>
        <w:tc>
          <w:tcPr>
            <w:tcW w:w="0" w:type="auto"/>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2B3F6D19" w14:textId="77777777" w:rsidR="005902AB" w:rsidRPr="005902AB" w:rsidRDefault="005902AB" w:rsidP="005902AB">
            <w:pPr>
              <w:rPr>
                <w:rFonts w:eastAsia="Times New Roman"/>
                <w:szCs w:val="24"/>
              </w:rPr>
            </w:pPr>
            <w:r w:rsidRPr="005902AB">
              <w:rPr>
                <w:rFonts w:eastAsia="Times New Roman"/>
                <w:color w:val="000000"/>
                <w:szCs w:val="24"/>
              </w:rPr>
              <w:t>CE710 Advanced Assessment of Social and Personality Functioning</w:t>
            </w:r>
          </w:p>
        </w:tc>
        <w:tc>
          <w:tcPr>
            <w:tcW w:w="864" w:type="dxa"/>
            <w:tcBorders>
              <w:top w:val="single" w:sz="4" w:space="0" w:color="auto"/>
              <w:left w:val="single" w:sz="4" w:space="0" w:color="auto"/>
              <w:bottom w:val="single" w:sz="4" w:space="0" w:color="auto"/>
              <w:right w:val="single" w:sz="4" w:space="0" w:color="auto"/>
            </w:tcBorders>
          </w:tcPr>
          <w:p w14:paraId="4C16536E" w14:textId="765B8C9C" w:rsidR="005902AB" w:rsidRPr="005902AB" w:rsidRDefault="00D051D6" w:rsidP="005902AB">
            <w:pPr>
              <w:rPr>
                <w:rFonts w:eastAsia="Times New Roman"/>
                <w:color w:val="000000"/>
                <w:szCs w:val="24"/>
              </w:rPr>
            </w:pPr>
            <w:r>
              <w:rPr>
                <w:rFonts w:eastAsia="Times New Roman"/>
                <w:color w:val="000000"/>
                <w:szCs w:val="24"/>
              </w:rPr>
              <w:t>4.00</w:t>
            </w:r>
          </w:p>
        </w:tc>
      </w:tr>
      <w:tr w:rsidR="005902AB" w:rsidRPr="005902AB" w14:paraId="16A428A4" w14:textId="0F8B8DE3" w:rsidTr="005902AB">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5AC46E" w14:textId="77777777" w:rsidR="005902AB" w:rsidRPr="005902AB" w:rsidRDefault="005902AB" w:rsidP="005902AB">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122E55F4" w14:textId="77777777" w:rsidR="005902AB" w:rsidRPr="005902AB" w:rsidRDefault="005902AB" w:rsidP="005902AB">
            <w:pPr>
              <w:rPr>
                <w:rFonts w:eastAsia="Times New Roman"/>
                <w:szCs w:val="24"/>
              </w:rPr>
            </w:pPr>
            <w:r w:rsidRPr="005902AB">
              <w:rPr>
                <w:rFonts w:eastAsia="Times New Roman"/>
                <w:color w:val="000000"/>
                <w:szCs w:val="24"/>
              </w:rPr>
              <w:t>CE723 Advanced Group Counseling Techniques</w:t>
            </w:r>
          </w:p>
        </w:tc>
        <w:tc>
          <w:tcPr>
            <w:tcW w:w="864" w:type="dxa"/>
            <w:tcBorders>
              <w:top w:val="single" w:sz="4" w:space="0" w:color="auto"/>
              <w:left w:val="single" w:sz="4" w:space="0" w:color="auto"/>
              <w:bottom w:val="single" w:sz="4" w:space="0" w:color="auto"/>
              <w:right w:val="single" w:sz="4" w:space="0" w:color="auto"/>
            </w:tcBorders>
          </w:tcPr>
          <w:p w14:paraId="77CEF8A8" w14:textId="4296D893" w:rsidR="005902AB" w:rsidRPr="005902AB" w:rsidRDefault="00D051D6" w:rsidP="005902AB">
            <w:pPr>
              <w:rPr>
                <w:rFonts w:eastAsia="Times New Roman"/>
                <w:color w:val="000000"/>
                <w:szCs w:val="24"/>
              </w:rPr>
            </w:pPr>
            <w:r>
              <w:rPr>
                <w:rFonts w:eastAsia="Times New Roman"/>
                <w:color w:val="000000"/>
                <w:szCs w:val="24"/>
              </w:rPr>
              <w:t>4.00</w:t>
            </w:r>
          </w:p>
        </w:tc>
      </w:tr>
      <w:tr w:rsidR="005902AB" w:rsidRPr="005902AB" w14:paraId="3E569CEF" w14:textId="5A2631E7" w:rsidTr="005902AB">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B7E6FF" w14:textId="77777777" w:rsidR="005902AB" w:rsidRPr="005902AB" w:rsidRDefault="005902AB" w:rsidP="005902AB">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54258470" w14:textId="77777777" w:rsidR="005902AB" w:rsidRPr="005902AB" w:rsidRDefault="005902AB" w:rsidP="005902AB">
            <w:pPr>
              <w:rPr>
                <w:rFonts w:eastAsia="Times New Roman"/>
                <w:szCs w:val="24"/>
              </w:rPr>
            </w:pPr>
            <w:r w:rsidRPr="005902AB">
              <w:rPr>
                <w:rFonts w:eastAsia="Times New Roman"/>
                <w:color w:val="000000"/>
                <w:szCs w:val="24"/>
              </w:rPr>
              <w:t>CE801</w:t>
            </w:r>
            <w:r w:rsidRPr="005902AB">
              <w:rPr>
                <w:rFonts w:ascii="ƒï€&amp;" w:eastAsia="Times New Roman" w:hAnsi="ƒï€&amp;"/>
                <w:color w:val="000000"/>
                <w:sz w:val="20"/>
                <w:szCs w:val="20"/>
              </w:rPr>
              <w:t xml:space="preserve"> </w:t>
            </w:r>
            <w:r w:rsidRPr="005902AB">
              <w:rPr>
                <w:rFonts w:eastAsia="Times New Roman"/>
                <w:color w:val="000000"/>
                <w:szCs w:val="24"/>
              </w:rPr>
              <w:t>Clinical Skills Assessment Lab</w:t>
            </w:r>
          </w:p>
        </w:tc>
        <w:tc>
          <w:tcPr>
            <w:tcW w:w="864" w:type="dxa"/>
            <w:tcBorders>
              <w:top w:val="single" w:sz="4" w:space="0" w:color="auto"/>
              <w:left w:val="single" w:sz="4" w:space="0" w:color="auto"/>
              <w:bottom w:val="single" w:sz="4" w:space="0" w:color="auto"/>
              <w:right w:val="single" w:sz="4" w:space="0" w:color="auto"/>
            </w:tcBorders>
          </w:tcPr>
          <w:p w14:paraId="065541EA" w14:textId="3293FDE1" w:rsidR="005902AB" w:rsidRPr="005902AB" w:rsidRDefault="00D4531F" w:rsidP="005902AB">
            <w:pPr>
              <w:rPr>
                <w:rFonts w:eastAsia="Times New Roman"/>
                <w:color w:val="000000"/>
                <w:szCs w:val="24"/>
              </w:rPr>
            </w:pPr>
            <w:r>
              <w:rPr>
                <w:rFonts w:eastAsia="Times New Roman"/>
                <w:color w:val="000000"/>
                <w:szCs w:val="24"/>
              </w:rPr>
              <w:t>3.97</w:t>
            </w:r>
          </w:p>
        </w:tc>
      </w:tr>
      <w:tr w:rsidR="005902AB" w:rsidRPr="005902AB" w14:paraId="29DCA285" w14:textId="0FCE5D11" w:rsidTr="005902AB">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CF4FB3" w14:textId="77777777" w:rsidR="005902AB" w:rsidRPr="005902AB" w:rsidRDefault="005902AB" w:rsidP="005902AB">
            <w:pPr>
              <w:rPr>
                <w:rFonts w:eastAsia="Times New Roman"/>
                <w:szCs w:val="24"/>
              </w:rPr>
            </w:pPr>
            <w:r w:rsidRPr="005902AB">
              <w:rPr>
                <w:rFonts w:eastAsia="Times New Roman"/>
                <w:color w:val="000000"/>
                <w:szCs w:val="24"/>
              </w:rPr>
              <w:t>Summer 2025</w:t>
            </w:r>
          </w:p>
        </w:tc>
        <w:tc>
          <w:tcPr>
            <w:tcW w:w="0" w:type="auto"/>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7B313574" w14:textId="77777777" w:rsidR="005902AB" w:rsidRPr="005902AB" w:rsidRDefault="005902AB" w:rsidP="005902AB">
            <w:pPr>
              <w:rPr>
                <w:rFonts w:eastAsia="Times New Roman"/>
                <w:szCs w:val="24"/>
              </w:rPr>
            </w:pPr>
            <w:r w:rsidRPr="005902AB">
              <w:rPr>
                <w:rFonts w:eastAsia="Times New Roman"/>
                <w:color w:val="000000"/>
                <w:szCs w:val="24"/>
              </w:rPr>
              <w:t>CE803 Clinical Practicum </w:t>
            </w:r>
          </w:p>
        </w:tc>
        <w:tc>
          <w:tcPr>
            <w:tcW w:w="864" w:type="dxa"/>
            <w:tcBorders>
              <w:top w:val="single" w:sz="4" w:space="0" w:color="auto"/>
              <w:left w:val="single" w:sz="4" w:space="0" w:color="auto"/>
              <w:bottom w:val="single" w:sz="4" w:space="0" w:color="auto"/>
              <w:right w:val="single" w:sz="4" w:space="0" w:color="auto"/>
            </w:tcBorders>
          </w:tcPr>
          <w:p w14:paraId="7AD50B58" w14:textId="4DEA8B09" w:rsidR="005902AB" w:rsidRPr="005902AB" w:rsidRDefault="00D4531F" w:rsidP="005902AB">
            <w:pPr>
              <w:rPr>
                <w:rFonts w:eastAsia="Times New Roman"/>
                <w:color w:val="000000"/>
                <w:szCs w:val="24"/>
              </w:rPr>
            </w:pPr>
            <w:r>
              <w:rPr>
                <w:rFonts w:eastAsia="Times New Roman"/>
                <w:color w:val="000000"/>
                <w:szCs w:val="24"/>
              </w:rPr>
              <w:t>4.00</w:t>
            </w:r>
          </w:p>
        </w:tc>
      </w:tr>
      <w:tr w:rsidR="005902AB" w:rsidRPr="005902AB" w14:paraId="2459BA17" w14:textId="5A213BAF" w:rsidTr="005902AB">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539A11" w14:textId="77777777" w:rsidR="005902AB" w:rsidRPr="005902AB" w:rsidRDefault="005902AB" w:rsidP="005902AB">
            <w:pPr>
              <w:rPr>
                <w:rFonts w:eastAsia="Times New Roman"/>
                <w:szCs w:val="24"/>
              </w:rPr>
            </w:pPr>
          </w:p>
        </w:tc>
        <w:tc>
          <w:tcPr>
            <w:tcW w:w="0" w:type="auto"/>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724A382B" w14:textId="77777777" w:rsidR="005902AB" w:rsidRPr="005902AB" w:rsidRDefault="005902AB" w:rsidP="005902AB">
            <w:pPr>
              <w:rPr>
                <w:rFonts w:eastAsia="Times New Roman"/>
                <w:szCs w:val="24"/>
              </w:rPr>
            </w:pPr>
            <w:r w:rsidRPr="005902AB">
              <w:rPr>
                <w:rFonts w:eastAsia="Times New Roman"/>
                <w:color w:val="000000"/>
                <w:szCs w:val="24"/>
              </w:rPr>
              <w:t>CE810 Multivariate Analysis and Adv. Research Design</w:t>
            </w:r>
          </w:p>
        </w:tc>
        <w:tc>
          <w:tcPr>
            <w:tcW w:w="864" w:type="dxa"/>
            <w:tcBorders>
              <w:top w:val="single" w:sz="4" w:space="0" w:color="auto"/>
              <w:left w:val="single" w:sz="4" w:space="0" w:color="auto"/>
              <w:bottom w:val="single" w:sz="4" w:space="0" w:color="auto"/>
              <w:right w:val="single" w:sz="4" w:space="0" w:color="auto"/>
            </w:tcBorders>
          </w:tcPr>
          <w:p w14:paraId="47FB870F" w14:textId="5268078C" w:rsidR="005902AB" w:rsidRPr="005902AB" w:rsidRDefault="00D4531F" w:rsidP="005902AB">
            <w:pPr>
              <w:rPr>
                <w:rFonts w:eastAsia="Times New Roman"/>
                <w:color w:val="000000"/>
                <w:szCs w:val="24"/>
              </w:rPr>
            </w:pPr>
            <w:r>
              <w:rPr>
                <w:rFonts w:eastAsia="Times New Roman"/>
                <w:color w:val="000000"/>
                <w:szCs w:val="24"/>
              </w:rPr>
              <w:t>3.57</w:t>
            </w:r>
          </w:p>
        </w:tc>
      </w:tr>
    </w:tbl>
    <w:p w14:paraId="1E765C15" w14:textId="77777777" w:rsidR="00AC2282" w:rsidRDefault="00AC2282"/>
    <w:p w14:paraId="4E013566" w14:textId="40424AEE" w:rsidR="00311B96" w:rsidRPr="00311B96" w:rsidRDefault="00311B96" w:rsidP="00311B96">
      <w:pPr>
        <w:spacing w:before="100" w:beforeAutospacing="1" w:after="100" w:afterAutospacing="1"/>
        <w:jc w:val="center"/>
        <w:rPr>
          <w:b/>
          <w:bCs/>
        </w:rPr>
      </w:pPr>
      <w:r w:rsidRPr="00311B96">
        <w:rPr>
          <w:b/>
          <w:bCs/>
        </w:rPr>
        <w:lastRenderedPageBreak/>
        <w:t xml:space="preserve">Program </w:t>
      </w:r>
      <w:r>
        <w:rPr>
          <w:b/>
          <w:bCs/>
        </w:rPr>
        <w:t xml:space="preserve">Improvement and </w:t>
      </w:r>
      <w:r w:rsidRPr="00311B96">
        <w:rPr>
          <w:b/>
          <w:bCs/>
        </w:rPr>
        <w:t>Modification Process</w:t>
      </w:r>
    </w:p>
    <w:p w14:paraId="058274D5" w14:textId="0C7DB7CF" w:rsidR="008D7867" w:rsidRPr="008D7867" w:rsidRDefault="008D7867" w:rsidP="008D7867">
      <w:pPr>
        <w:spacing w:before="100" w:beforeAutospacing="1" w:after="100" w:afterAutospacing="1"/>
      </w:pPr>
      <w:r w:rsidRPr="008D7867">
        <w:t xml:space="preserve">Based on the initial review of assessment results and faculty evaluations, several programmatic improvements have been implemented to strengthen the quality and effectiveness of the Counselor Education and Supervision doctoral program. These modifications include a systematic review and revision of course content and associated evaluation rubrics to ensure alignment with current </w:t>
      </w:r>
      <w:r w:rsidR="005E21CC">
        <w:t xml:space="preserve">2024 </w:t>
      </w:r>
      <w:r w:rsidRPr="008D7867">
        <w:t xml:space="preserve">standards set by </w:t>
      </w:r>
      <w:r w:rsidR="005E21CC">
        <w:t>CACREP</w:t>
      </w:r>
      <w:r w:rsidRPr="008D7867">
        <w:t xml:space="preserve"> and </w:t>
      </w:r>
      <w:r w:rsidR="005E21CC" w:rsidRPr="008D7867">
        <w:t>advancing</w:t>
      </w:r>
      <w:r w:rsidRPr="008D7867">
        <w:t xml:space="preserve"> best practices in counselor education. In addition, the program has expanded structured co-teaching and supervision opportunities to enhance doctoral students’ pedagogical and supervisory competencies. Efforts have also been made to increase access to research opportunities and funding to support scholarly productivity and professional development. </w:t>
      </w:r>
      <w:r w:rsidR="001E3A18">
        <w:t>Moreover</w:t>
      </w:r>
      <w:r w:rsidRPr="008D7867">
        <w:t xml:space="preserve">, clearer guidelines and structured support for the comprehensive examination </w:t>
      </w:r>
      <w:r w:rsidR="001E3A18">
        <w:t xml:space="preserve">and dissertation </w:t>
      </w:r>
      <w:r w:rsidRPr="008D7867">
        <w:t xml:space="preserve">process have been developed to promote student preparedness and successful progression through the program. </w:t>
      </w:r>
      <w:r w:rsidR="001E3A18">
        <w:t>T</w:t>
      </w:r>
      <w:r w:rsidRPr="008D7867">
        <w:t>hese targeted modifications reflect a data-informed commitment to continuous program improvement and doctoral student success.</w:t>
      </w:r>
    </w:p>
    <w:p w14:paraId="475AE7FB" w14:textId="77777777" w:rsidR="008D7867" w:rsidRDefault="008D7867"/>
    <w:sectPr w:rsidR="008D78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ƒï€&amp;">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2AB"/>
    <w:rsid w:val="001E3A18"/>
    <w:rsid w:val="00311B96"/>
    <w:rsid w:val="00466F51"/>
    <w:rsid w:val="004A19CB"/>
    <w:rsid w:val="004C063D"/>
    <w:rsid w:val="005902AB"/>
    <w:rsid w:val="005C641A"/>
    <w:rsid w:val="005E21CC"/>
    <w:rsid w:val="006B42B1"/>
    <w:rsid w:val="007F4036"/>
    <w:rsid w:val="008D7867"/>
    <w:rsid w:val="009226DC"/>
    <w:rsid w:val="00A115A7"/>
    <w:rsid w:val="00A92E19"/>
    <w:rsid w:val="00AC2282"/>
    <w:rsid w:val="00BB0110"/>
    <w:rsid w:val="00BE5881"/>
    <w:rsid w:val="00C54FDD"/>
    <w:rsid w:val="00D051D6"/>
    <w:rsid w:val="00D4531F"/>
    <w:rsid w:val="00E01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159C1"/>
  <w15:chartTrackingRefBased/>
  <w15:docId w15:val="{B6801F19-3907-094F-A879-E2DAFB592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02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02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02A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02A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902A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902A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902A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902A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902A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2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02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02A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02A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902A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902A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902A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902A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902A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902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2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2A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2A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902A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902AB"/>
    <w:rPr>
      <w:i/>
      <w:iCs/>
      <w:color w:val="404040" w:themeColor="text1" w:themeTint="BF"/>
    </w:rPr>
  </w:style>
  <w:style w:type="paragraph" w:styleId="ListParagraph">
    <w:name w:val="List Paragraph"/>
    <w:basedOn w:val="Normal"/>
    <w:uiPriority w:val="34"/>
    <w:qFormat/>
    <w:rsid w:val="005902AB"/>
    <w:pPr>
      <w:ind w:left="720"/>
      <w:contextualSpacing/>
    </w:pPr>
  </w:style>
  <w:style w:type="character" w:styleId="IntenseEmphasis">
    <w:name w:val="Intense Emphasis"/>
    <w:basedOn w:val="DefaultParagraphFont"/>
    <w:uiPriority w:val="21"/>
    <w:qFormat/>
    <w:rsid w:val="005902AB"/>
    <w:rPr>
      <w:i/>
      <w:iCs/>
      <w:color w:val="2F5496" w:themeColor="accent1" w:themeShade="BF"/>
    </w:rPr>
  </w:style>
  <w:style w:type="paragraph" w:styleId="IntenseQuote">
    <w:name w:val="Intense Quote"/>
    <w:basedOn w:val="Normal"/>
    <w:next w:val="Normal"/>
    <w:link w:val="IntenseQuoteChar"/>
    <w:uiPriority w:val="30"/>
    <w:qFormat/>
    <w:rsid w:val="005902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02AB"/>
    <w:rPr>
      <w:i/>
      <w:iCs/>
      <w:color w:val="2F5496" w:themeColor="accent1" w:themeShade="BF"/>
    </w:rPr>
  </w:style>
  <w:style w:type="character" w:styleId="IntenseReference">
    <w:name w:val="Intense Reference"/>
    <w:basedOn w:val="DefaultParagraphFont"/>
    <w:uiPriority w:val="32"/>
    <w:qFormat/>
    <w:rsid w:val="005902AB"/>
    <w:rPr>
      <w:b/>
      <w:bCs/>
      <w:smallCaps/>
      <w:color w:val="2F5496" w:themeColor="accent1" w:themeShade="BF"/>
      <w:spacing w:val="5"/>
    </w:rPr>
  </w:style>
  <w:style w:type="paragraph" w:styleId="NormalWeb">
    <w:name w:val="Normal (Web)"/>
    <w:basedOn w:val="Normal"/>
    <w:uiPriority w:val="99"/>
    <w:semiHidden/>
    <w:unhideWhenUsed/>
    <w:rsid w:val="005902AB"/>
    <w:pPr>
      <w:spacing w:before="100" w:beforeAutospacing="1" w:after="100" w:afterAutospacing="1"/>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 Kalkan</dc:creator>
  <cp:keywords/>
  <dc:description/>
  <cp:lastModifiedBy>Bilal Kalkan</cp:lastModifiedBy>
  <cp:revision>4</cp:revision>
  <dcterms:created xsi:type="dcterms:W3CDTF">2026-05-01T13:09:00Z</dcterms:created>
  <dcterms:modified xsi:type="dcterms:W3CDTF">2026-05-01T15:11:00Z</dcterms:modified>
</cp:coreProperties>
</file>